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header7.xml" ContentType="application/vnd.openxmlformats-officedocument.wordprocessingml.header+xml"/>
  <Override PartName="/word/header4.xml" ContentType="application/vnd.openxmlformats-officedocument.wordprocessingml.head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header5.xml" ContentType="application/vnd.openxmlformats-officedocument.wordprocessingml.header+xml"/>
  <Override PartName="/word/styles.xml" ContentType="application/vnd.openxmlformats-officedocument.wordprocessingml.styles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tabs>
          <w:tab w:val="clear" w:pos="708"/>
          <w:tab w:val="left" w:pos="426" w:leader="none"/>
        </w:tabs>
        <w:jc w:val="center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center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center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center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center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center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center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center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center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center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ascii="Times New Roman Полужирный" w:hAnsi="Times New Roman Полужирный" w:eastAsia="Calibri"/>
          <w:b/>
          <w:spacing w:val="-4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Технические требования 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center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center"/>
        <w:rPr>
          <w:rFonts w:eastAsia="Calibri"/>
          <w:i w:val="false"/>
          <w:i w:val="false"/>
          <w:iCs w:val="false"/>
          <w:sz w:val="26"/>
          <w:szCs w:val="26"/>
        </w:rPr>
      </w:pPr>
      <w:r>
        <w:rPr>
          <w:rFonts w:eastAsia="Calibri"/>
          <w:i w:val="false"/>
          <w:iCs w:val="false"/>
          <w:sz w:val="26"/>
          <w:szCs w:val="26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center"/>
        <w:rPr>
          <w:i w:val="false"/>
          <w:i w:val="false"/>
          <w:iCs w:val="false"/>
        </w:rPr>
      </w:pPr>
      <w:r>
        <w:rPr>
          <w:rFonts w:eastAsia="Calibri"/>
          <w:b/>
          <w:i w:val="false"/>
          <w:iCs w:val="false"/>
          <w:sz w:val="26"/>
          <w:szCs w:val="26"/>
        </w:rPr>
        <w:t>ОКПД2 62.01.29.000 Поставка права на использование программного обеспечения для ЭВМ «ГРАНД-Смета» для нужд Исполнительного аппарата АО «Гидроремонт-ВКК»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center"/>
        <w:rPr>
          <w:i w:val="false"/>
          <w:i w:val="false"/>
          <w:iCs w:val="false"/>
        </w:rPr>
      </w:pPr>
      <w:r>
        <w:rPr>
          <w:rFonts w:eastAsia="Calibri"/>
          <w:b/>
          <w:i w:val="false"/>
          <w:iCs w:val="false"/>
          <w:sz w:val="26"/>
          <w:szCs w:val="26"/>
        </w:rPr>
        <w:t>Лот №0008-ЭКСП ДИТ-2027-ГРВКК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center"/>
        <w:rPr>
          <w:rFonts w:eastAsia="Calibri"/>
          <w:b/>
          <w:i w:val="false"/>
          <w:i w:val="false"/>
          <w:iCs w:val="false"/>
          <w:strike/>
          <w:sz w:val="26"/>
          <w:szCs w:val="26"/>
        </w:rPr>
      </w:pPr>
      <w:r>
        <w:rPr>
          <w:rFonts w:eastAsia="Calibri"/>
          <w:b/>
          <w:i w:val="false"/>
          <w:iCs w:val="false"/>
          <w:strike/>
          <w:sz w:val="26"/>
          <w:szCs w:val="26"/>
        </w:rPr>
      </w:r>
      <w:bookmarkStart w:id="0" w:name="_GoBack"/>
      <w:bookmarkStart w:id="1" w:name="_GoBack"/>
      <w:bookmarkEnd w:id="1"/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center"/>
        <w:rPr>
          <w:rFonts w:eastAsia="Calibri"/>
          <w:b/>
          <w:i w:val="false"/>
          <w:i w:val="false"/>
          <w:iCs w:val="false"/>
          <w:sz w:val="26"/>
          <w:szCs w:val="26"/>
        </w:rPr>
      </w:pPr>
      <w:r>
        <w:rPr>
          <w:rFonts w:eastAsia="Calibri"/>
          <w:b/>
          <w:i w:val="false"/>
          <w:iCs w:val="false"/>
          <w:sz w:val="26"/>
          <w:szCs w:val="26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center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center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center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center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center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center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center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center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center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center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</w:p>
    <w:p>
      <w:pPr>
        <w:pStyle w:val="Normal"/>
        <w:spacing w:lineRule="auto" w:line="360"/>
        <w:jc w:val="center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  <w:r>
        <w:br w:type="page"/>
      </w:r>
    </w:p>
    <w:p>
      <w:pPr>
        <w:pStyle w:val="Normal"/>
        <w:jc w:val="center"/>
        <w:rPr>
          <w:b/>
        </w:rPr>
      </w:pPr>
      <w:r>
        <w:rPr>
          <w:b/>
        </w:rPr>
        <w:t>СОДЕРЖАНИЕ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tabs>
              <w:tab w:val="clear" w:pos="708"/>
              <w:tab w:val="right" w:pos="9921" w:leader="dot"/>
            </w:tabs>
            <w:rPr/>
          </w:pPr>
          <w:r>
            <w:fldChar w:fldCharType="begin"/>
          </w:r>
          <w:r>
            <w:rPr>
              <w:webHidden/>
              <w:rStyle w:val="Style14"/>
              <w:vanish w:val="false"/>
            </w:rPr>
            <w:instrText xml:space="preserve"> TOC \z \o "1-4" \u \h</w:instrText>
          </w:r>
          <w:r>
            <w:rPr>
              <w:webHidden/>
              <w:rStyle w:val="Style14"/>
              <w:vanish w:val="false"/>
            </w:rPr>
            <w:fldChar w:fldCharType="separate"/>
          </w:r>
          <w:hyperlink w:anchor="__RefHeading___Toc75146_1212662846">
            <w:r>
              <w:rPr>
                <w:webHidden/>
                <w:rStyle w:val="Style14"/>
                <w:vanish w:val="false"/>
              </w:rPr>
              <w:t>1. Общие сведения</w:t>
              <w:tab/>
              <w:t>3</w:t>
            </w:r>
          </w:hyperlink>
        </w:p>
        <w:p>
          <w:pPr>
            <w:pStyle w:val="TOC4"/>
            <w:tabs>
              <w:tab w:val="clear" w:pos="708"/>
              <w:tab w:val="right" w:pos="9921" w:leader="dot"/>
            </w:tabs>
            <w:rPr/>
          </w:pPr>
          <w:hyperlink w:anchor="__RefHeading___Toc75148_1212662846">
            <w:r>
              <w:rPr>
                <w:webHidden/>
                <w:rStyle w:val="Style14"/>
                <w:vanish w:val="false"/>
              </w:rPr>
              <w:t>1.1. Наименование закупаемой продукции</w:t>
              <w:tab/>
              <w:t>3</w:t>
            </w:r>
          </w:hyperlink>
        </w:p>
        <w:p>
          <w:pPr>
            <w:pStyle w:val="TOC4"/>
            <w:tabs>
              <w:tab w:val="clear" w:pos="708"/>
              <w:tab w:val="right" w:pos="9921" w:leader="dot"/>
            </w:tabs>
            <w:rPr/>
          </w:pPr>
          <w:hyperlink w:anchor="__RefHeading___Toc75150_1212662846">
            <w:r>
              <w:rPr>
                <w:webHidden/>
                <w:rStyle w:val="Style14"/>
                <w:vanish w:val="false"/>
              </w:rPr>
              <w:t xml:space="preserve">1.2. </w:t>
            </w:r>
            <w:r>
              <w:rPr>
                <w:rStyle w:val="Style14"/>
                <w:i w:val="false"/>
                <w:iCs w:val="false"/>
              </w:rPr>
              <w:t>Цель использования закупаемой продукции</w:t>
            </w:r>
            <w:r>
              <w:rPr>
                <w:rStyle w:val="Style14"/>
              </w:rPr>
              <w:tab/>
              <w:t>3</w:t>
            </w:r>
          </w:hyperlink>
        </w:p>
        <w:p>
          <w:pPr>
            <w:pStyle w:val="TOC4"/>
            <w:tabs>
              <w:tab w:val="clear" w:pos="708"/>
              <w:tab w:val="right" w:pos="9921" w:leader="dot"/>
            </w:tabs>
            <w:rPr/>
          </w:pPr>
          <w:hyperlink w:anchor="__RefHeading___Toc75152_1212662846">
            <w:r>
              <w:rPr>
                <w:webHidden/>
                <w:rStyle w:val="Style14"/>
                <w:vanish w:val="false"/>
              </w:rPr>
              <w:t xml:space="preserve">1.3. </w:t>
            </w:r>
            <w:r>
              <w:rPr>
                <w:rStyle w:val="Style14"/>
                <w:i w:val="false"/>
                <w:iCs w:val="false"/>
              </w:rPr>
              <w:t>Существующее положение</w:t>
            </w:r>
            <w:r>
              <w:rPr>
                <w:rStyle w:val="Style14"/>
              </w:rPr>
              <w:tab/>
              <w:t>3</w:t>
            </w:r>
          </w:hyperlink>
        </w:p>
        <w:p>
          <w:pPr>
            <w:pStyle w:val="TOC1"/>
            <w:tabs>
              <w:tab w:val="clear" w:pos="708"/>
              <w:tab w:val="right" w:pos="9921" w:leader="dot"/>
            </w:tabs>
            <w:rPr/>
          </w:pPr>
          <w:hyperlink w:anchor="__RefHeading___Toc75154_1212662846">
            <w:r>
              <w:rPr>
                <w:webHidden/>
                <w:rStyle w:val="Style14"/>
                <w:vanish w:val="false"/>
              </w:rPr>
              <w:t>2. Требования к продукции</w:t>
              <w:tab/>
              <w:t>3</w:t>
            </w:r>
          </w:hyperlink>
        </w:p>
        <w:p>
          <w:pPr>
            <w:pStyle w:val="TOC4"/>
            <w:tabs>
              <w:tab w:val="clear" w:pos="708"/>
              <w:tab w:val="right" w:pos="9921" w:leader="dot"/>
            </w:tabs>
            <w:rPr/>
          </w:pPr>
          <w:hyperlink w:anchor="__RefHeading___Toc75156_1212662846">
            <w:r>
              <w:rPr>
                <w:webHidden/>
                <w:rStyle w:val="Style14"/>
                <w:vanish w:val="false"/>
              </w:rPr>
              <w:t>2.1. Требования к объемам и срокам поставки</w:t>
              <w:tab/>
              <w:t>3</w:t>
            </w:r>
          </w:hyperlink>
        </w:p>
        <w:p>
          <w:pPr>
            <w:pStyle w:val="TOC3"/>
            <w:tabs>
              <w:tab w:val="clear" w:pos="708"/>
              <w:tab w:val="right" w:pos="9921" w:leader="dot"/>
            </w:tabs>
            <w:rPr/>
          </w:pPr>
          <w:hyperlink w:anchor="__RefHeading___Toc75158_1212662846">
            <w:r>
              <w:rPr>
                <w:webHidden/>
                <w:rStyle w:val="Style14"/>
                <w:vanish w:val="false"/>
              </w:rPr>
              <w:t>2.1.1. Перечень и объем закупаемой продукции</w:t>
              <w:tab/>
              <w:t>3</w:t>
            </w:r>
          </w:hyperlink>
        </w:p>
        <w:p>
          <w:pPr>
            <w:pStyle w:val="TOC3"/>
            <w:tabs>
              <w:tab w:val="clear" w:pos="708"/>
              <w:tab w:val="right" w:pos="9921" w:leader="dot"/>
            </w:tabs>
            <w:rPr/>
          </w:pPr>
          <w:hyperlink w:anchor="__RefHeading___Toc22406_3907880893">
            <w:r>
              <w:rPr>
                <w:webHidden/>
                <w:rStyle w:val="Style14"/>
                <w:vanish w:val="false"/>
              </w:rPr>
              <w:t>Таблица 1. Перечень и объём оказываемых услуг</w:t>
              <w:tab/>
              <w:t>3</w:t>
            </w:r>
          </w:hyperlink>
        </w:p>
        <w:p>
          <w:pPr>
            <w:pStyle w:val="TOC3"/>
            <w:tabs>
              <w:tab w:val="clear" w:pos="708"/>
              <w:tab w:val="right" w:pos="9921" w:leader="dot"/>
            </w:tabs>
            <w:rPr/>
          </w:pPr>
          <w:hyperlink w:anchor="__RefHeading___Toc75160_1212662846">
            <w:r>
              <w:rPr>
                <w:webHidden/>
                <w:rStyle w:val="Style14"/>
                <w:vanish w:val="false"/>
              </w:rPr>
              <w:t>2.1.2. Требования к срокам поставки продукции</w:t>
              <w:tab/>
              <w:t>3</w:t>
            </w:r>
          </w:hyperlink>
        </w:p>
        <w:p>
          <w:pPr>
            <w:pStyle w:val="TOC1"/>
            <w:tabs>
              <w:tab w:val="clear" w:pos="708"/>
              <w:tab w:val="right" w:pos="9921" w:leader="dot"/>
            </w:tabs>
            <w:rPr/>
          </w:pPr>
          <w:hyperlink w:anchor="__RefHeading___Toc75162_1212662846">
            <w:r>
              <w:rPr>
                <w:webHidden/>
                <w:rStyle w:val="Style14"/>
                <w:vanish w:val="false"/>
              </w:rPr>
              <w:t>Таблица 2 Требования по срокам поставки продукции</w:t>
              <w:tab/>
              <w:t>3</w:t>
            </w:r>
          </w:hyperlink>
        </w:p>
        <w:p>
          <w:pPr>
            <w:pStyle w:val="TOC4"/>
            <w:tabs>
              <w:tab w:val="clear" w:pos="708"/>
              <w:tab w:val="right" w:pos="9921" w:leader="dot"/>
            </w:tabs>
            <w:rPr/>
          </w:pPr>
          <w:hyperlink w:anchor="__RefHeading___Toc75164_1212662846">
            <w:r>
              <w:rPr>
                <w:webHidden/>
                <w:rStyle w:val="Style14"/>
                <w:vanish w:val="false"/>
              </w:rPr>
              <w:t>2.2. Требования к качеству продукции</w:t>
              <w:tab/>
              <w:t>4</w:t>
            </w:r>
          </w:hyperlink>
        </w:p>
        <w:p>
          <w:pPr>
            <w:pStyle w:val="TOC1"/>
            <w:tabs>
              <w:tab w:val="clear" w:pos="708"/>
              <w:tab w:val="right" w:pos="9921" w:leader="dot"/>
            </w:tabs>
            <w:rPr/>
          </w:pPr>
          <w:hyperlink w:anchor="__RefHeading___Toc75166_1212662846">
            <w:r>
              <w:rPr>
                <w:webHidden/>
                <w:rStyle w:val="Style14"/>
                <w:vanish w:val="false"/>
              </w:rPr>
              <w:t>Таблица 3. Требования к продукции</w:t>
              <w:tab/>
              <w:t>4</w:t>
            </w:r>
          </w:hyperlink>
        </w:p>
        <w:p>
          <w:pPr>
            <w:pStyle w:val="TOC1"/>
            <w:tabs>
              <w:tab w:val="clear" w:pos="708"/>
              <w:tab w:val="right" w:pos="9921" w:leader="dot"/>
            </w:tabs>
            <w:rPr/>
          </w:pPr>
          <w:hyperlink w:anchor="__RefHeading___Toc75170_1212662846">
            <w:r>
              <w:rPr>
                <w:webHidden/>
                <w:rStyle w:val="Style14"/>
                <w:vanish w:val="false"/>
              </w:rPr>
              <w:t xml:space="preserve">3. </w:t>
            </w:r>
            <w:r>
              <w:rPr>
                <w:rStyle w:val="Style14"/>
                <w:i w:val="false"/>
                <w:iCs w:val="false"/>
              </w:rPr>
              <w:t>Приложения</w:t>
            </w:r>
            <w:r>
              <w:rPr>
                <w:rStyle w:val="Style14"/>
              </w:rPr>
              <w:tab/>
              <w:t>6</w:t>
            </w:r>
          </w:hyperlink>
          <w:r>
            <w:rPr>
              <w:rStyle w:val="Style14"/>
            </w:rPr>
            <w:fldChar w:fldCharType="end"/>
          </w:r>
        </w:p>
      </w:sdtContent>
    </w:sdt>
    <w:p>
      <w:pPr>
        <w:pStyle w:val="Heading2"/>
        <w:tabs>
          <w:tab w:val="clear" w:pos="0"/>
          <w:tab w:val="left" w:pos="560" w:leader="none"/>
        </w:tabs>
        <w:ind w:hanging="0" w:left="0"/>
        <w:rPr>
          <w:b w:val="false"/>
          <w:i/>
          <w:i/>
        </w:rPr>
      </w:pPr>
      <w:r>
        <w:rPr>
          <w:b w:val="false"/>
          <w:i/>
        </w:rPr>
      </w:r>
      <w:r>
        <w:br w:type="page"/>
      </w:r>
    </w:p>
    <w:p>
      <w:pPr>
        <w:pStyle w:val="Heading1"/>
        <w:numPr>
          <w:ilvl w:val="0"/>
          <w:numId w:val="3"/>
        </w:numPr>
        <w:ind w:hanging="426" w:left="284"/>
        <w:jc w:val="center"/>
        <w:rPr>
          <w:caps/>
        </w:rPr>
      </w:pPr>
      <w:bookmarkStart w:id="2" w:name="__RefHeading___Toc75146_1212662846"/>
      <w:bookmarkStart w:id="3" w:name="_Toc143536500"/>
      <w:bookmarkStart w:id="4" w:name="_Toc51339692"/>
      <w:bookmarkEnd w:id="2"/>
      <w:r>
        <w:rPr/>
        <w:t>Общие сведения</w:t>
      </w:r>
      <w:bookmarkEnd w:id="3"/>
      <w:bookmarkEnd w:id="4"/>
    </w:p>
    <w:p>
      <w:pPr>
        <w:pStyle w:val="Heading4"/>
        <w:numPr>
          <w:ilvl w:val="1"/>
          <w:numId w:val="3"/>
        </w:numPr>
        <w:ind w:hanging="426" w:left="426"/>
        <w:rPr/>
      </w:pPr>
      <w:bookmarkStart w:id="5" w:name="__RefHeading___Toc75148_1212662846"/>
      <w:bookmarkStart w:id="6" w:name="_Toc143536501"/>
      <w:bookmarkStart w:id="7" w:name="_Toc46743506"/>
      <w:bookmarkEnd w:id="5"/>
      <w:r>
        <w:rPr/>
        <w:t>Наименование закупаемой продукции</w:t>
      </w:r>
      <w:bookmarkEnd w:id="6"/>
      <w:bookmarkEnd w:id="7"/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240"/>
        <w:ind w:firstLine="426"/>
        <w:jc w:val="both"/>
        <w:rPr>
          <w:i w:val="false"/>
          <w:i w:val="false"/>
          <w:iCs w:val="false"/>
        </w:rPr>
      </w:pPr>
      <w:r>
        <w:rPr>
          <w:i w:val="false"/>
          <w:iCs w:val="false"/>
          <w:sz w:val="24"/>
          <w:szCs w:val="24"/>
        </w:rPr>
        <w:t>ОКПД2 62.01.29.000 Поставка права на использование программного обеспечения для ЭВМ «ГРАНД-Смета» для нужд Исполнительного аппарата АО «Гидроремонт-ВКК».</w:t>
      </w:r>
    </w:p>
    <w:p>
      <w:pPr>
        <w:pStyle w:val="Heading4"/>
        <w:numPr>
          <w:ilvl w:val="1"/>
          <w:numId w:val="3"/>
        </w:numPr>
        <w:ind w:hanging="426" w:left="426"/>
        <w:rPr>
          <w:i w:val="false"/>
          <w:i w:val="false"/>
          <w:iCs w:val="false"/>
        </w:rPr>
      </w:pPr>
      <w:bookmarkStart w:id="8" w:name="__RefHeading___Toc75150_1212662846"/>
      <w:bookmarkStart w:id="9" w:name="_Toc143536502"/>
      <w:bookmarkStart w:id="10" w:name="_Toc46743507"/>
      <w:bookmarkEnd w:id="8"/>
      <w:r>
        <w:rPr>
          <w:i w:val="false"/>
          <w:iCs w:val="false"/>
        </w:rPr>
        <w:t xml:space="preserve">Цель </w:t>
      </w:r>
      <w:bookmarkEnd w:id="10"/>
      <w:r>
        <w:rPr>
          <w:i w:val="false"/>
          <w:iCs w:val="false"/>
        </w:rPr>
        <w:t>использования закупаемой продукции</w:t>
      </w:r>
      <w:bookmarkEnd w:id="9"/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240"/>
        <w:ind w:firstLine="426"/>
        <w:jc w:val="both"/>
        <w:rPr>
          <w:i w:val="false"/>
          <w:i w:val="false"/>
          <w:iCs w:val="false"/>
        </w:rPr>
      </w:pPr>
      <w:r>
        <w:rPr>
          <w:i w:val="false"/>
          <w:iCs w:val="false"/>
          <w:sz w:val="24"/>
          <w:szCs w:val="24"/>
        </w:rPr>
        <w:t>Целью заключения договора является поставка лицензий и обновлений программного обеспечения Гранд Смета на 1 календарный год.</w:t>
      </w:r>
    </w:p>
    <w:p>
      <w:pPr>
        <w:pStyle w:val="Heading4"/>
        <w:numPr>
          <w:ilvl w:val="1"/>
          <w:numId w:val="3"/>
        </w:numPr>
        <w:ind w:hanging="426" w:left="426"/>
        <w:rPr>
          <w:i w:val="false"/>
          <w:i w:val="false"/>
          <w:iCs w:val="false"/>
        </w:rPr>
      </w:pPr>
      <w:bookmarkStart w:id="11" w:name="__RefHeading___Toc75152_1212662846"/>
      <w:bookmarkStart w:id="12" w:name="_Toc143536503"/>
      <w:bookmarkStart w:id="13" w:name="_Toc46743508"/>
      <w:bookmarkEnd w:id="11"/>
      <w:r>
        <w:rPr>
          <w:i w:val="false"/>
          <w:iCs w:val="false"/>
        </w:rPr>
        <w:t>Существующее положение</w:t>
      </w:r>
      <w:bookmarkEnd w:id="12"/>
      <w:bookmarkEnd w:id="13"/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240"/>
        <w:ind w:firstLine="426"/>
        <w:jc w:val="both"/>
        <w:rPr>
          <w:i w:val="false"/>
          <w:i w:val="false"/>
          <w:iCs w:val="false"/>
        </w:rPr>
      </w:pPr>
      <w:r>
        <w:rPr>
          <w:i w:val="false"/>
          <w:iCs w:val="false"/>
          <w:sz w:val="24"/>
          <w:szCs w:val="24"/>
        </w:rPr>
        <w:t xml:space="preserve">У Заказчика имеется программное обеспечение Гранд Смета, количество рабочих мест и номера ключей указано в Приложении №1 к </w:t>
      </w:r>
      <w:r>
        <w:rPr>
          <w:b w:val="false"/>
          <w:bCs w:val="false"/>
          <w:i w:val="false"/>
          <w:iCs w:val="false"/>
          <w:sz w:val="24"/>
          <w:szCs w:val="24"/>
          <w:shd w:fill="auto" w:val="clear"/>
        </w:rPr>
        <w:t>Техническим требованиям</w:t>
      </w:r>
      <w:r>
        <w:rPr>
          <w:i w:val="false"/>
          <w:iCs w:val="false"/>
          <w:sz w:val="24"/>
          <w:szCs w:val="24"/>
        </w:rPr>
        <w:t xml:space="preserve">. </w:t>
      </w:r>
    </w:p>
    <w:p>
      <w:pPr>
        <w:pStyle w:val="Heading1"/>
        <w:numPr>
          <w:ilvl w:val="0"/>
          <w:numId w:val="3"/>
        </w:numPr>
        <w:ind w:hanging="426" w:left="284"/>
        <w:jc w:val="center"/>
        <w:rPr>
          <w:caps/>
          <w:lang w:val="ru-RU"/>
        </w:rPr>
      </w:pPr>
      <w:bookmarkStart w:id="14" w:name="__RefHeading___Toc75154_1212662846"/>
      <w:bookmarkStart w:id="15" w:name="_Toc143536504"/>
      <w:bookmarkStart w:id="16" w:name="_Toc51339693"/>
      <w:bookmarkStart w:id="17" w:name="_Hlk498576041"/>
      <w:bookmarkStart w:id="18" w:name="_Toc467435091"/>
      <w:bookmarkStart w:id="19" w:name="_Toc50125126"/>
      <w:bookmarkEnd w:id="14"/>
      <w:bookmarkEnd w:id="17"/>
      <w:bookmarkEnd w:id="18"/>
      <w:bookmarkEnd w:id="19"/>
      <w:r>
        <w:rPr/>
        <w:t>Требования к продукции</w:t>
      </w:r>
      <w:bookmarkEnd w:id="15"/>
      <w:bookmarkEnd w:id="16"/>
    </w:p>
    <w:p>
      <w:pPr>
        <w:pStyle w:val="Heading4"/>
        <w:numPr>
          <w:ilvl w:val="1"/>
          <w:numId w:val="3"/>
        </w:numPr>
        <w:ind w:hanging="426" w:left="426"/>
        <w:rPr/>
      </w:pPr>
      <w:bookmarkStart w:id="20" w:name="__RefHeading___Toc75156_1212662846"/>
      <w:bookmarkStart w:id="21" w:name="_Toc143536505"/>
      <w:bookmarkEnd w:id="20"/>
      <w:r>
        <w:rPr/>
        <w:t xml:space="preserve">Требования к объемам и срокам </w:t>
      </w:r>
      <w:r>
        <w:rPr>
          <w:lang w:val="ru-RU"/>
        </w:rPr>
        <w:t>поставки</w:t>
      </w:r>
      <w:bookmarkEnd w:id="21"/>
    </w:p>
    <w:p>
      <w:pPr>
        <w:pStyle w:val="Heading3"/>
        <w:numPr>
          <w:ilvl w:val="2"/>
          <w:numId w:val="3"/>
        </w:numPr>
        <w:ind w:hanging="426" w:left="426"/>
        <w:rPr/>
      </w:pPr>
      <w:bookmarkStart w:id="22" w:name="__RefHeading___Toc75158_1212662846"/>
      <w:bookmarkStart w:id="23" w:name="_Toc143536506"/>
      <w:bookmarkEnd w:id="22"/>
      <w:r>
        <w:rPr/>
        <w:t>Перечень и объем закупаем</w:t>
      </w:r>
      <w:r>
        <w:rPr>
          <w:shd w:fill="auto" w:val="clear"/>
        </w:rPr>
        <w:t>ой продукции</w:t>
      </w:r>
      <w:bookmarkEnd w:id="23"/>
    </w:p>
    <w:p>
      <w:pPr>
        <w:pStyle w:val="Heading3"/>
        <w:numPr>
          <w:ilvl w:val="0"/>
        </w:numPr>
        <w:ind w:hanging="426" w:left="426" w:right="0"/>
        <w:rPr>
          <w:i w:val="false"/>
          <w:i w:val="false"/>
          <w:iCs w:val="false"/>
        </w:rPr>
      </w:pPr>
      <w:bookmarkStart w:id="24" w:name="__RefHeading___Toc22406_3907880893"/>
      <w:bookmarkEnd w:id="24"/>
      <w:r>
        <w:rPr>
          <w:rFonts w:eastAsia="Calibri" w:cs="Times New Roman"/>
          <w:b/>
          <w:color w:val="auto"/>
          <w:spacing w:val="-4"/>
          <w:kern w:val="0"/>
          <w:lang w:val="x-none" w:eastAsia="x-none" w:bidi="ar-SA"/>
        </w:rPr>
        <w:t>Таблица</w:t>
      </w:r>
      <w:r>
        <w:rPr>
          <w:rFonts w:eastAsia="Calibri"/>
          <w:b/>
          <w:spacing w:val="-4"/>
          <w:lang w:val="x-none" w:eastAsia="x-none"/>
        </w:rPr>
        <w:t xml:space="preserve"> 1. Перечень и объём оказываемых услуг</w:t>
      </w:r>
    </w:p>
    <w:tbl>
      <w:tblPr>
        <w:tblW w:w="9638" w:type="dxa"/>
        <w:jc w:val="left"/>
        <w:tblInd w:w="1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"/>
        <w:gridCol w:w="6063"/>
        <w:gridCol w:w="1818"/>
        <w:gridCol w:w="1144"/>
      </w:tblGrid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  <w:sz w:val="24"/>
                <w:szCs w:val="24"/>
              </w:rPr>
              <w:t>п/п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  <w:sz w:val="24"/>
                <w:szCs w:val="24"/>
              </w:rPr>
              <w:t>Наименование услуг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  <w:sz w:val="24"/>
                <w:szCs w:val="24"/>
              </w:rPr>
              <w:t>Ед. изм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  <w:sz w:val="24"/>
                <w:szCs w:val="24"/>
                <w:lang w:val="en-US"/>
              </w:rPr>
              <w:t>Кол-во</w:t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</w:rPr>
            </w:pPr>
            <w:r>
              <w:rPr>
                <w:b/>
                <w:i w:val="false"/>
                <w:iCs w:val="false"/>
                <w:sz w:val="24"/>
                <w:szCs w:val="24"/>
              </w:rPr>
              <w:t>1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</w:rPr>
            </w:pPr>
            <w:r>
              <w:rPr>
                <w:b/>
                <w:i w:val="false"/>
                <w:iCs w:val="false"/>
                <w:sz w:val="24"/>
                <w:szCs w:val="24"/>
              </w:rPr>
              <w:t>2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8"/>
              <w:keepNext w:val="false"/>
              <w:widowControl w:val="false"/>
              <w:spacing w:before="0" w:after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b/>
                <w:i w:val="false"/>
                <w:iCs w:val="false"/>
                <w:sz w:val="24"/>
                <w:szCs w:val="24"/>
              </w:rPr>
              <w:t>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8"/>
              <w:keepNext w:val="false"/>
              <w:widowControl w:val="false"/>
              <w:spacing w:before="0" w:after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b/>
                <w:i w:val="false"/>
                <w:iCs w:val="false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ind w:hanging="360" w:left="360" w:right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240"/>
              <w:ind w:hanging="0"/>
              <w:jc w:val="both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sz w:val="24"/>
                <w:szCs w:val="24"/>
                <w:lang w:eastAsia="x-none"/>
              </w:rPr>
              <w:t>Право на использование программного обеспечения для ЭВМ «ГРАНД-Смета» для нужд Исполнительного аппарата АО «Гидроремонт-ВКК»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  <w:sz w:val="24"/>
                <w:szCs w:val="24"/>
              </w:rPr>
              <w:t>Условная единица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</w:rPr>
            </w:pPr>
            <w:bookmarkStart w:id="25" w:name="_Toc46743510_Копия_1"/>
            <w:r>
              <w:rPr>
                <w:i w:val="false"/>
                <w:iCs w:val="false"/>
                <w:sz w:val="24"/>
                <w:szCs w:val="24"/>
              </w:rPr>
              <w:t>1</w:t>
            </w:r>
            <w:bookmarkEnd w:id="25"/>
          </w:p>
        </w:tc>
      </w:tr>
    </w:tbl>
    <w:p>
      <w:pPr>
        <w:pStyle w:val="Heading3"/>
        <w:numPr>
          <w:ilvl w:val="2"/>
          <w:numId w:val="3"/>
        </w:numPr>
        <w:ind w:hanging="426" w:left="426"/>
        <w:rPr/>
      </w:pPr>
      <w:bookmarkStart w:id="26" w:name="__RefHeading___Toc75160_1212662846"/>
      <w:bookmarkStart w:id="27" w:name="_Toc143536507"/>
      <w:bookmarkStart w:id="28" w:name="_Toc51339696"/>
      <w:bookmarkEnd w:id="26"/>
      <w:r>
        <w:rPr/>
        <w:t xml:space="preserve">Требования </w:t>
      </w:r>
      <w:bookmarkEnd w:id="28"/>
      <w:r>
        <w:rPr/>
        <w:t>к срокам поставки продукции</w:t>
      </w:r>
      <w:bookmarkEnd w:id="27"/>
    </w:p>
    <w:p>
      <w:pPr>
        <w:pStyle w:val="Heading1"/>
        <w:tabs>
          <w:tab w:val="clear" w:pos="0"/>
        </w:tabs>
        <w:ind w:hanging="0" w:left="0"/>
        <w:rPr>
          <w:sz w:val="24"/>
          <w:szCs w:val="24"/>
          <w:lang w:val="ru-RU"/>
        </w:rPr>
      </w:pPr>
      <w:bookmarkStart w:id="29" w:name="__RefHeading___Toc75162_1212662846"/>
      <w:bookmarkStart w:id="30" w:name="_Toc143536508"/>
      <w:bookmarkStart w:id="31" w:name="_Toc127534165"/>
      <w:bookmarkStart w:id="32" w:name="_Toc126912491"/>
      <w:bookmarkStart w:id="33" w:name="_Toc124854287"/>
      <w:bookmarkStart w:id="34" w:name="_Toc51339697"/>
      <w:bookmarkStart w:id="35" w:name="_Toc50125127"/>
      <w:bookmarkStart w:id="36" w:name="_Toc501251261"/>
      <w:bookmarkEnd w:id="29"/>
      <w:bookmarkEnd w:id="36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2</w:t>
      </w:r>
      <w:r>
        <w:rPr>
          <w:sz w:val="24"/>
          <w:szCs w:val="24"/>
        </w:rPr>
        <w:t xml:space="preserve"> </w:t>
      </w:r>
      <w:bookmarkStart w:id="37" w:name="_Hlk50465284"/>
      <w:r>
        <w:rPr>
          <w:sz w:val="24"/>
          <w:szCs w:val="24"/>
        </w:rPr>
        <w:t xml:space="preserve">Требования по срокам </w:t>
      </w:r>
      <w:bookmarkEnd w:id="34"/>
      <w:bookmarkEnd w:id="35"/>
      <w:bookmarkEnd w:id="37"/>
      <w:r>
        <w:rPr>
          <w:sz w:val="24"/>
          <w:szCs w:val="24"/>
          <w:lang w:val="ru-RU"/>
        </w:rPr>
        <w:t>поставки продукции</w:t>
      </w:r>
      <w:bookmarkEnd w:id="30"/>
      <w:bookmarkEnd w:id="31"/>
      <w:bookmarkEnd w:id="32"/>
      <w:bookmarkEnd w:id="33"/>
      <w:r>
        <w:rPr>
          <w:sz w:val="24"/>
          <w:szCs w:val="24"/>
          <w:lang w:val="ru-RU"/>
        </w:rPr>
        <w:t xml:space="preserve"> </w:t>
      </w:r>
    </w:p>
    <w:tbl>
      <w:tblPr>
        <w:tblW w:w="9639" w:type="dxa"/>
        <w:jc w:val="left"/>
        <w:tblInd w:w="1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52"/>
        <w:gridCol w:w="3400"/>
        <w:gridCol w:w="2411"/>
        <w:gridCol w:w="2975"/>
      </w:tblGrid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Наименование продукции / партии продукции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поставки продукции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поставки продукции</w:t>
            </w:r>
          </w:p>
        </w:tc>
      </w:tr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/>
                <w:sz w:val="24"/>
                <w:szCs w:val="24"/>
                <w:shd w:fill="auto" w:val="clear"/>
              </w:rP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8"/>
              <w:keepNext w:val="false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8"/>
              <w:keepNext w:val="false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ind w:hanging="0" w:left="36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  <w:t>1.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240"/>
              <w:ind w:hanging="0"/>
              <w:jc w:val="both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sz w:val="24"/>
                <w:szCs w:val="24"/>
                <w:shd w:fill="auto" w:val="clear"/>
                <w:lang w:eastAsia="x-none"/>
              </w:rPr>
              <w:t>Право на использование программного обеспечения для ЭВМ «ГРАНД-Смета» для нужд Исполнительного аппарата АО «Гидроремонт-ВКК»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  <w:sz w:val="24"/>
                <w:szCs w:val="24"/>
              </w:rPr>
              <w:t>С 01.06.2027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</w:rPr>
            </w:pPr>
            <w:bookmarkStart w:id="38" w:name="_Toc46743510"/>
            <w:r>
              <w:rPr>
                <w:i w:val="false"/>
                <w:iCs w:val="false"/>
                <w:sz w:val="24"/>
                <w:szCs w:val="24"/>
              </w:rPr>
              <w:t xml:space="preserve">в течение 10 (десяти) рабочих дней с </w:t>
            </w:r>
            <w:bookmarkEnd w:id="38"/>
            <w:r>
              <w:rPr>
                <w:i w:val="false"/>
                <w:iCs w:val="false"/>
                <w:sz w:val="24"/>
                <w:szCs w:val="24"/>
              </w:rPr>
              <w:t>01.06.2027</w:t>
            </w:r>
          </w:p>
        </w:tc>
      </w:tr>
    </w:tbl>
    <w:p>
      <w:p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1134" w:right="851" w:gutter="0" w:header="680" w:top="1134" w:footer="0" w:bottom="992"/>
          <w:pgNumType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Heading4"/>
        <w:numPr>
          <w:ilvl w:val="1"/>
          <w:numId w:val="3"/>
        </w:numPr>
        <w:ind w:hanging="426" w:left="426"/>
        <w:rPr/>
      </w:pPr>
      <w:bookmarkStart w:id="39" w:name="__RefHeading___Toc75164_1212662846"/>
      <w:bookmarkStart w:id="40" w:name="_Toc51339698"/>
      <w:bookmarkStart w:id="41" w:name="_Toc143536509"/>
      <w:bookmarkStart w:id="42" w:name="_Toc46743511"/>
      <w:bookmarkEnd w:id="39"/>
      <w:r>
        <w:rPr/>
        <w:t xml:space="preserve">Требования к </w:t>
      </w:r>
      <w:bookmarkEnd w:id="42"/>
      <w:r>
        <w:rPr/>
        <w:t>качеству продукции</w:t>
      </w:r>
      <w:bookmarkEnd w:id="41"/>
    </w:p>
    <w:p>
      <w:pPr>
        <w:pStyle w:val="Heading1"/>
        <w:tabs>
          <w:tab w:val="clear" w:pos="0"/>
        </w:tabs>
        <w:ind w:hanging="0" w:left="0"/>
        <w:rPr>
          <w:sz w:val="24"/>
          <w:szCs w:val="24"/>
        </w:rPr>
      </w:pPr>
      <w:bookmarkStart w:id="43" w:name="__RefHeading___Toc75166_1212662846"/>
      <w:bookmarkStart w:id="44" w:name="_Toc143536510"/>
      <w:bookmarkStart w:id="45" w:name="_Toc127534167"/>
      <w:bookmarkStart w:id="46" w:name="_Toc126912493"/>
      <w:bookmarkStart w:id="47" w:name="_Toc124854289"/>
      <w:bookmarkEnd w:id="43"/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 xml:space="preserve">. Требования к </w:t>
      </w:r>
      <w:r>
        <w:rPr>
          <w:sz w:val="24"/>
          <w:szCs w:val="24"/>
          <w:lang w:val="ru-RU"/>
        </w:rPr>
        <w:t>продукции</w:t>
      </w:r>
      <w:bookmarkEnd w:id="44"/>
      <w:bookmarkEnd w:id="45"/>
      <w:bookmarkEnd w:id="46"/>
      <w:bookmarkEnd w:id="47"/>
      <w:r>
        <w:rPr>
          <w:sz w:val="24"/>
          <w:szCs w:val="24"/>
        </w:rPr>
        <w:t xml:space="preserve"> </w:t>
      </w:r>
      <w:bookmarkEnd w:id="40"/>
    </w:p>
    <w:p>
      <w:pPr>
        <w:pStyle w:val="Normal"/>
        <w:rPr>
          <w:b w:val="false"/>
          <w:i w:val="false"/>
          <w:i w:val="false"/>
          <w:iCs w:val="false"/>
        </w:rPr>
      </w:pPr>
      <w:r>
        <w:rPr>
          <w:b w:val="false"/>
          <w:i w:val="false"/>
          <w:iCs w:val="false"/>
        </w:rPr>
      </w:r>
    </w:p>
    <w:p>
      <w:pPr>
        <w:pStyle w:val="Normal"/>
        <w:jc w:val="both"/>
        <w:rPr>
          <w:i w:val="false"/>
          <w:i w:val="false"/>
          <w:iCs w:val="false"/>
        </w:rPr>
      </w:pPr>
      <w:r>
        <w:rPr>
          <w:b/>
          <w:bCs/>
          <w:i w:val="false"/>
          <w:iCs w:val="false"/>
          <w:sz w:val="24"/>
          <w:szCs w:val="24"/>
        </w:rPr>
        <w:t>Наименование продукции:</w:t>
      </w:r>
      <w:r>
        <w:rPr>
          <w:i w:val="false"/>
          <w:iCs w:val="false"/>
          <w:sz w:val="24"/>
          <w:szCs w:val="24"/>
        </w:rPr>
        <w:t xml:space="preserve"> согласно п.1 таблицы 1</w:t>
      </w:r>
      <w:r>
        <w:rPr>
          <w:i w:val="false"/>
          <w:iCs w:val="false"/>
          <w:sz w:val="24"/>
          <w:szCs w:val="24"/>
          <w:shd w:fill="auto" w:val="clear"/>
        </w:rPr>
        <w:t xml:space="preserve"> Право на использование программного обеспечения для ЭВМ «ГРАНД-Смета» для нужд Исполнительного аппарата АО «Гидроремонт-ВКК»"</w:t>
      </w:r>
    </w:p>
    <w:tbl>
      <w:tblPr>
        <w:tblStyle w:val="affff4"/>
        <w:tblW w:w="14459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65"/>
        <w:gridCol w:w="2412"/>
        <w:gridCol w:w="5812"/>
        <w:gridCol w:w="2976"/>
        <w:gridCol w:w="2694"/>
      </w:tblGrid>
      <w:tr>
        <w:trPr/>
        <w:tc>
          <w:tcPr>
            <w:tcW w:w="565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/>
                <w:b/>
                <w:bCs/>
                <w:i w:val="false"/>
                <w:iCs w:val="false"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i w:val="false"/>
                <w:iCs w:val="false"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2412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spacing w:val="-4"/>
                <w:kern w:val="0"/>
                <w:sz w:val="24"/>
                <w:szCs w:val="24"/>
                <w:lang w:val="ru-RU" w:eastAsia="ru-RU" w:bidi="ar-SA"/>
              </w:rPr>
              <w:t>Наименование</w:t>
            </w: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kern w:val="0"/>
                <w:sz w:val="24"/>
                <w:szCs w:val="24"/>
                <w:lang w:val="ru-RU" w:eastAsia="ru-RU" w:bidi="ar-SA"/>
              </w:rPr>
              <w:t xml:space="preserve"> параметра</w:t>
            </w:r>
          </w:p>
        </w:tc>
        <w:tc>
          <w:tcPr>
            <w:tcW w:w="5812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/>
                <w:b/>
                <w:bCs/>
                <w:i w:val="false"/>
                <w:iCs w:val="false"/>
                <w:kern w:val="0"/>
                <w:sz w:val="24"/>
                <w:szCs w:val="24"/>
                <w:lang w:val="ru-RU" w:eastAsia="ru-RU" w:bidi="ar-SA"/>
              </w:rPr>
              <w:t>Требование заказчика</w:t>
            </w:r>
          </w:p>
        </w:tc>
        <w:tc>
          <w:tcPr>
            <w:tcW w:w="567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/>
                <w:b/>
                <w:bCs/>
                <w:i w:val="false"/>
                <w:iCs w:val="false"/>
                <w:kern w:val="0"/>
                <w:sz w:val="24"/>
                <w:szCs w:val="24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565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b/>
                <w:bCs/>
                <w:i w:val="false"/>
                <w:iCs w:val="false"/>
                <w:sz w:val="24"/>
                <w:szCs w:val="24"/>
              </w:rPr>
            </w:r>
          </w:p>
        </w:tc>
        <w:tc>
          <w:tcPr>
            <w:tcW w:w="2412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b/>
                <w:bCs/>
                <w:i w:val="false"/>
                <w:iCs w:val="false"/>
                <w:sz w:val="24"/>
                <w:szCs w:val="24"/>
              </w:rPr>
            </w:r>
          </w:p>
        </w:tc>
        <w:tc>
          <w:tcPr>
            <w:tcW w:w="5812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b/>
                <w:bCs/>
                <w:i w:val="false"/>
                <w:iCs w:val="false"/>
                <w:sz w:val="24"/>
                <w:szCs w:val="24"/>
              </w:rPr>
            </w:r>
          </w:p>
        </w:tc>
        <w:tc>
          <w:tcPr>
            <w:tcW w:w="297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/>
                <w:b/>
                <w:bCs/>
                <w:i w:val="false"/>
                <w:iCs w:val="false"/>
                <w:kern w:val="0"/>
                <w:sz w:val="24"/>
                <w:szCs w:val="24"/>
                <w:lang w:val="ru-RU" w:eastAsia="ru-RU" w:bidi="ar-SA"/>
              </w:rPr>
              <w:t>Согласие с требованием/ указание характеристик</w:t>
            </w:r>
          </w:p>
        </w:tc>
        <w:tc>
          <w:tcPr>
            <w:tcW w:w="269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/>
                <w:b/>
                <w:bCs/>
                <w:i w:val="false"/>
                <w:iCs w:val="false"/>
                <w:kern w:val="0"/>
                <w:sz w:val="24"/>
                <w:szCs w:val="24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>
          <w:trHeight w:val="167" w:hRule="atLeast"/>
        </w:trPr>
        <w:tc>
          <w:tcPr>
            <w:tcW w:w="5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cs="Times New Roman"/>
                <w:b/>
                <w:i w:val="false"/>
                <w:iCs w:val="false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241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/>
                <w:b/>
                <w:i w:val="false"/>
                <w:iCs w:val="false"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581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/>
                <w:b/>
                <w:i w:val="false"/>
                <w:iCs w:val="false"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297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/>
                <w:b/>
                <w:i w:val="false"/>
                <w:iCs w:val="false"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269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/>
                <w:b/>
                <w:i w:val="false"/>
                <w:iCs w:val="false"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</w:tr>
      <w:tr>
        <w:trPr/>
        <w:tc>
          <w:tcPr>
            <w:tcW w:w="56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i w:val="false"/>
                <w:i w:val="false"/>
                <w:iCs w:val="false"/>
                <w:lang w:eastAsia="x-none"/>
              </w:rPr>
            </w:pPr>
            <w:r>
              <w:rPr>
                <w:i w:val="false"/>
                <w:iCs w:val="false"/>
                <w:lang w:eastAsia="x-none"/>
              </w:rPr>
            </w:r>
          </w:p>
        </w:tc>
        <w:tc>
          <w:tcPr>
            <w:tcW w:w="822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/>
                <w:b/>
                <w:i w:val="false"/>
                <w:iCs w:val="false"/>
                <w:kern w:val="0"/>
                <w:sz w:val="24"/>
                <w:szCs w:val="24"/>
                <w:lang w:val="ru-RU" w:eastAsia="ru-RU" w:bidi="ar-SA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9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/>
                <w:b/>
                <w:i w:val="false"/>
                <w:iCs w:val="false"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69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/>
                <w:b/>
                <w:i w:val="false"/>
                <w:iCs w:val="false"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56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firstLine="142" w:left="-117"/>
              <w:contextualSpacing/>
              <w:jc w:val="center"/>
              <w:rPr>
                <w:i w:val="false"/>
                <w:i w:val="false"/>
                <w:iCs w:val="false"/>
                <w:lang w:eastAsia="x-none"/>
              </w:rPr>
            </w:pPr>
            <w:r>
              <w:rPr>
                <w:i w:val="false"/>
                <w:iCs w:val="false"/>
                <w:lang w:eastAsia="x-none"/>
              </w:rPr>
            </w:r>
          </w:p>
        </w:tc>
        <w:tc>
          <w:tcPr>
            <w:tcW w:w="822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Лицензии на программное обеспечение Гранд смета согласно Приложению №2 к Техническим требованиям.</w:t>
            </w:r>
          </w:p>
        </w:tc>
        <w:tc>
          <w:tcPr>
            <w:tcW w:w="2976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9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</w:r>
          </w:p>
        </w:tc>
      </w:tr>
      <w:tr>
        <w:trPr/>
        <w:tc>
          <w:tcPr>
            <w:tcW w:w="56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i w:val="false"/>
                <w:i w:val="false"/>
                <w:iCs w:val="false"/>
                <w:lang w:eastAsia="x-none"/>
              </w:rPr>
            </w:pPr>
            <w:r>
              <w:rPr>
                <w:i w:val="false"/>
                <w:iCs w:val="false"/>
                <w:lang w:eastAsia="x-none"/>
              </w:rPr>
            </w:r>
          </w:p>
        </w:tc>
        <w:tc>
          <w:tcPr>
            <w:tcW w:w="822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/>
                <w:b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Требования к безопасности</w:t>
            </w:r>
          </w:p>
        </w:tc>
        <w:tc>
          <w:tcPr>
            <w:tcW w:w="29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/>
                <w:b/>
                <w:i w:val="false"/>
                <w:iCs w:val="false"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69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/>
                <w:b/>
                <w:i w:val="false"/>
                <w:iCs w:val="false"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56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firstLine="142" w:left="-117"/>
              <w:contextualSpacing/>
              <w:jc w:val="center"/>
              <w:rPr>
                <w:i w:val="false"/>
                <w:i w:val="false"/>
                <w:iCs w:val="false"/>
                <w:lang w:eastAsia="x-none"/>
              </w:rPr>
            </w:pPr>
            <w:r>
              <w:rPr>
                <w:i w:val="false"/>
                <w:iCs w:val="false"/>
                <w:lang w:eastAsia="x-none"/>
              </w:rPr>
            </w:r>
          </w:p>
        </w:tc>
        <w:tc>
          <w:tcPr>
            <w:tcW w:w="241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Информационная безопасность</w:t>
            </w:r>
          </w:p>
        </w:tc>
        <w:tc>
          <w:tcPr>
            <w:tcW w:w="581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spacing w:val="-6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Требования к информационной безопасности должны обеспечиваться на всех стадиях жизненного цикла систем, с учетом всех сторон, вовлеченных в процессы жизненного цикла.</w:t>
            </w:r>
          </w:p>
        </w:tc>
        <w:tc>
          <w:tcPr>
            <w:tcW w:w="29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9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b/>
                <w:i w:val="false"/>
                <w:iCs w:val="false"/>
                <w:sz w:val="24"/>
                <w:szCs w:val="24"/>
              </w:rPr>
            </w:r>
          </w:p>
        </w:tc>
      </w:tr>
      <w:tr>
        <w:trPr/>
        <w:tc>
          <w:tcPr>
            <w:tcW w:w="56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i w:val="false"/>
                <w:i w:val="false"/>
                <w:iCs w:val="false"/>
                <w:lang w:eastAsia="x-none"/>
              </w:rPr>
            </w:pPr>
            <w:r>
              <w:rPr>
                <w:i w:val="false"/>
                <w:iCs w:val="false"/>
                <w:lang w:eastAsia="x-none"/>
              </w:rPr>
            </w:r>
          </w:p>
        </w:tc>
        <w:tc>
          <w:tcPr>
            <w:tcW w:w="822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/>
                <w:b/>
                <w:bCs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Требования к доставке,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9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/>
                <w:b/>
                <w:i w:val="false"/>
                <w:iCs w:val="false"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69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/>
                <w:b/>
                <w:i w:val="false"/>
                <w:iCs w:val="false"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56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firstLine="142" w:left="-117"/>
              <w:contextualSpacing/>
              <w:jc w:val="center"/>
              <w:rPr>
                <w:i w:val="false"/>
                <w:i w:val="false"/>
                <w:iCs w:val="false"/>
                <w:lang w:eastAsia="x-none"/>
              </w:rPr>
            </w:pPr>
            <w:r>
              <w:rPr>
                <w:i w:val="false"/>
                <w:iCs w:val="false"/>
                <w:lang w:eastAsia="x-none"/>
              </w:rPr>
            </w:r>
          </w:p>
        </w:tc>
        <w:tc>
          <w:tcPr>
            <w:tcW w:w="241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Место поставки</w:t>
            </w:r>
          </w:p>
        </w:tc>
        <w:tc>
          <w:tcPr>
            <w:tcW w:w="581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Продукция должна быть доставлена </w:t>
            </w:r>
            <w:r>
              <w:rPr>
                <w:rFonts w:eastAsia="Times New Roman" w:cs="Times New Roman"/>
                <w:i w:val="false"/>
                <w:iCs w:val="false"/>
                <w:spacing w:val="-8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Поставщиком по адресам, указанным </w:t>
            </w: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Приложении №1 к Техническим требованиям.</w:t>
            </w:r>
          </w:p>
        </w:tc>
        <w:tc>
          <w:tcPr>
            <w:tcW w:w="29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94" w:type="dxa"/>
            <w:tcBorders/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hanging="0" w:left="0"/>
              <w:jc w:val="left"/>
              <w:outlineLvl w:val="2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56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i w:val="false"/>
                <w:i w:val="false"/>
                <w:iCs w:val="false"/>
                <w:lang w:eastAsia="x-none"/>
              </w:rPr>
            </w:pPr>
            <w:r>
              <w:rPr>
                <w:i w:val="false"/>
                <w:iCs w:val="false"/>
                <w:lang w:eastAsia="x-none"/>
              </w:rPr>
            </w:r>
          </w:p>
        </w:tc>
        <w:tc>
          <w:tcPr>
            <w:tcW w:w="822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i w:val="false"/>
                <w:i w:val="false"/>
                <w:iCs w:val="false"/>
              </w:rPr>
            </w:pPr>
            <w:r>
              <w:rPr>
                <w:rFonts w:cs="Times New Roman"/>
                <w:b/>
                <w:i w:val="false"/>
                <w:iCs w:val="false"/>
                <w:kern w:val="0"/>
                <w:sz w:val="24"/>
                <w:szCs w:val="24"/>
                <w:lang w:val="ru-RU" w:eastAsia="ru-RU" w:bidi="ar-SA"/>
              </w:rPr>
              <w:t>Требования к обязательствам Поставщика, влияющим на исполнение договора</w:t>
            </w:r>
          </w:p>
        </w:tc>
        <w:tc>
          <w:tcPr>
            <w:tcW w:w="2976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cs="Times New Roman"/>
                <w:b/>
                <w:i w:val="false"/>
                <w:iCs w:val="false"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694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cs="Times New Roman"/>
                <w:b/>
                <w:i w:val="false"/>
                <w:iCs w:val="false"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56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firstLine="142" w:left="-117"/>
              <w:contextualSpacing/>
              <w:jc w:val="center"/>
              <w:rPr>
                <w:i w:val="false"/>
                <w:i w:val="false"/>
                <w:iCs w:val="false"/>
                <w:lang w:eastAsia="x-none"/>
              </w:rPr>
            </w:pPr>
            <w:r>
              <w:rPr>
                <w:i w:val="false"/>
                <w:iCs w:val="false"/>
                <w:lang w:eastAsia="x-none"/>
              </w:rPr>
            </w:r>
          </w:p>
        </w:tc>
        <w:tc>
          <w:tcPr>
            <w:tcW w:w="241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kern w:val="0"/>
                <w:sz w:val="24"/>
                <w:szCs w:val="24"/>
                <w:lang w:val="ru-RU" w:eastAsia="ru-RU" w:bidi="ar-SA"/>
              </w:rPr>
              <w:t>Взаимодействие представителей Заказчика и Поставщика</w:t>
            </w:r>
          </w:p>
        </w:tc>
        <w:tc>
          <w:tcPr>
            <w:tcW w:w="581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kern w:val="0"/>
                <w:sz w:val="24"/>
                <w:szCs w:val="24"/>
                <w:lang w:val="ru-RU" w:eastAsia="ru-RU" w:bidi="ar-SA"/>
              </w:rPr>
              <w:t>Осуществляется через службу поддержки пользователей Поставщика, а также помимо этого может осуществляться лично, по телефону либо посредством электронной почты.</w:t>
            </w:r>
          </w:p>
        </w:tc>
        <w:tc>
          <w:tcPr>
            <w:tcW w:w="29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9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Cs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bCs/>
                <w:i w:val="false"/>
                <w:iCs w:val="false"/>
                <w:sz w:val="24"/>
                <w:szCs w:val="24"/>
              </w:rPr>
            </w:r>
          </w:p>
        </w:tc>
      </w:tr>
      <w:tr>
        <w:trPr/>
        <w:tc>
          <w:tcPr>
            <w:tcW w:w="56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firstLine="142" w:left="-117"/>
              <w:contextualSpacing/>
              <w:jc w:val="center"/>
              <w:rPr>
                <w:i w:val="false"/>
                <w:i w:val="false"/>
                <w:iCs w:val="false"/>
                <w:lang w:eastAsia="x-none"/>
              </w:rPr>
            </w:pPr>
            <w:r>
              <w:rPr>
                <w:i w:val="false"/>
                <w:iCs w:val="false"/>
                <w:lang w:eastAsia="x-none"/>
              </w:rPr>
            </w:r>
          </w:p>
        </w:tc>
        <w:tc>
          <w:tcPr>
            <w:tcW w:w="241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lang w:val="ru-RU" w:eastAsia="ru-RU" w:bidi="ar-SA"/>
              </w:rPr>
              <w:t>Способ поставки</w:t>
            </w:r>
          </w:p>
        </w:tc>
        <w:tc>
          <w:tcPr>
            <w:tcW w:w="581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spacing w:val="-12"/>
                <w:kern w:val="0"/>
                <w:sz w:val="24"/>
                <w:szCs w:val="24"/>
                <w:lang w:val="ru-RU" w:eastAsia="ru-RU" w:bidi="ar-SA"/>
              </w:rPr>
              <w:t>Передача Лицензиаром неисключительного права на ПО осуществляется путем передачи Лицензиату одним из следующих способов: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spacing w:val="-12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bCs/>
                <w:i w:val="false"/>
                <w:iCs w:val="false"/>
                <w:spacing w:val="-12"/>
                <w:kern w:val="0"/>
                <w:sz w:val="24"/>
                <w:szCs w:val="24"/>
                <w:lang w:val="ru-RU" w:eastAsia="ru-RU" w:bidi="ar-SA"/>
              </w:rPr>
              <w:t>- посредством предоставления ключа доступа к ПО в сети Интернет/ в виде электронных экземпляров средствами электронной связи;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spacing w:val="-12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bCs/>
                <w:i w:val="false"/>
                <w:iCs w:val="false"/>
                <w:spacing w:val="-12"/>
                <w:kern w:val="0"/>
                <w:sz w:val="24"/>
                <w:szCs w:val="24"/>
                <w:lang w:val="ru-RU" w:eastAsia="ru-RU" w:bidi="ar-SA"/>
              </w:rPr>
              <w:t xml:space="preserve">- путем направления уведомления о возможности самостоятельной загрузке установочных файлов ПО из сети Интернет, CD(DVD);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spacing w:val="-12"/>
                <w:kern w:val="0"/>
                <w:sz w:val="24"/>
                <w:szCs w:val="24"/>
                <w:lang w:val="ru-RU" w:eastAsia="ru-RU" w:bidi="ar-SA"/>
              </w:rPr>
              <w:t>- на материальном носителе (дистрибутиве);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spacing w:val="-12"/>
                <w:kern w:val="0"/>
                <w:sz w:val="24"/>
                <w:szCs w:val="24"/>
                <w:lang w:val="ru-RU" w:eastAsia="ru-RU" w:bidi="ar-SA"/>
              </w:rPr>
              <w:t>сетевым способом доставки путем передачи Лицензиаром документации Лицензиату, содержащей информацию об условиях (программных ключах, кодах, паролях, сетевых путях и т.п.) доступа к сетевому ресурсу правообладателя / производителя ПО.</w:t>
            </w:r>
          </w:p>
        </w:tc>
        <w:tc>
          <w:tcPr>
            <w:tcW w:w="29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9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</w:r>
          </w:p>
        </w:tc>
      </w:tr>
      <w:tr>
        <w:trPr/>
        <w:tc>
          <w:tcPr>
            <w:tcW w:w="56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firstLine="142" w:left="-117"/>
              <w:contextualSpacing/>
              <w:jc w:val="center"/>
              <w:rPr>
                <w:i w:val="false"/>
                <w:i w:val="false"/>
                <w:iCs w:val="false"/>
                <w:lang w:eastAsia="x-none"/>
              </w:rPr>
            </w:pPr>
            <w:r>
              <w:rPr>
                <w:i w:val="false"/>
                <w:iCs w:val="false"/>
                <w:lang w:eastAsia="x-none"/>
              </w:rPr>
            </w:r>
          </w:p>
        </w:tc>
        <w:tc>
          <w:tcPr>
            <w:tcW w:w="241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kern w:val="0"/>
                <w:sz w:val="24"/>
                <w:szCs w:val="24"/>
                <w:lang w:val="ru-RU" w:eastAsia="ru-RU" w:bidi="ar-SA"/>
              </w:rPr>
              <w:t>Иные требования</w:t>
            </w:r>
          </w:p>
        </w:tc>
        <w:tc>
          <w:tcPr>
            <w:tcW w:w="581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/>
                <w:bCs/>
                <w:i w:val="false"/>
                <w:iCs w:val="false"/>
                <w:kern w:val="0"/>
                <w:sz w:val="24"/>
                <w:szCs w:val="24"/>
                <w:lang w:val="ru-RU" w:eastAsia="ru-RU" w:bidi="ar-SA"/>
              </w:rPr>
              <w:t>Поставщик своими силами осуществляет поставку  по адресам, указа</w:t>
            </w:r>
            <w:r>
              <w:rPr>
                <w:rFonts w:eastAsia="Times New Roman" w:cs="Times New Roman"/>
                <w:bCs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нным в</w:t>
            </w:r>
            <w:r>
              <w:rPr>
                <w:rFonts w:eastAsia="Times New Roman" w:cs="Times New Roman"/>
                <w:bCs/>
                <w:i w:val="false"/>
                <w:iCs w:val="false"/>
                <w:kern w:val="0"/>
                <w:sz w:val="24"/>
                <w:szCs w:val="24"/>
                <w:lang w:val="ru-RU" w:eastAsia="ru-RU" w:bidi="ar-SA"/>
              </w:rPr>
              <w:t xml:space="preserve"> п. 3.1.</w:t>
            </w:r>
          </w:p>
        </w:tc>
        <w:tc>
          <w:tcPr>
            <w:tcW w:w="29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</w:rPr>
            </w:pPr>
            <w:r>
              <w:rPr>
                <w:rFonts w:eastAsia="Times New Roman" w:cs="Times New Roman"/>
                <w:i w:val="false"/>
                <w:iCs w:val="false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69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</w:r>
          </w:p>
        </w:tc>
      </w:tr>
    </w:tbl>
    <w:p>
      <w:pPr>
        <w:sectPr>
          <w:headerReference w:type="default" r:id="rId5"/>
          <w:headerReference w:type="first" r:id="rId6"/>
          <w:type w:val="nextPage"/>
          <w:pgSz w:orient="landscape" w:w="16838" w:h="11906"/>
          <w:pgMar w:left="992" w:right="567" w:gutter="0" w:header="680" w:top="851" w:footer="0" w:bottom="851"/>
          <w:pgNumType w:fmt="decimal"/>
          <w:formProt w:val="false"/>
          <w:titlePg/>
          <w:textDirection w:val="lrTb"/>
          <w:docGrid w:type="default" w:linePitch="381" w:charSpace="0"/>
        </w:sectPr>
      </w:pPr>
    </w:p>
    <w:p>
      <w:pPr>
        <w:pStyle w:val="Heading1"/>
        <w:numPr>
          <w:ilvl w:val="0"/>
          <w:numId w:val="3"/>
        </w:numPr>
        <w:ind w:hanging="426" w:left="426"/>
        <w:jc w:val="center"/>
        <w:rPr>
          <w:i w:val="false"/>
          <w:i w:val="false"/>
          <w:iCs w:val="false"/>
        </w:rPr>
      </w:pPr>
      <w:bookmarkStart w:id="48" w:name="__RefHeading___Toc75170_1212662846"/>
      <w:bookmarkStart w:id="49" w:name="_Toc143536512"/>
      <w:bookmarkStart w:id="50" w:name="_Toc132189352"/>
      <w:bookmarkStart w:id="51" w:name="_Toc126912495"/>
      <w:bookmarkStart w:id="52" w:name="_Toc54785627"/>
      <w:bookmarkStart w:id="53" w:name="_Toc54279847"/>
      <w:bookmarkEnd w:id="48"/>
      <w:r>
        <w:rPr>
          <w:i w:val="false"/>
          <w:iCs w:val="false"/>
        </w:rPr>
        <w:t>Приложения</w:t>
      </w:r>
      <w:bookmarkEnd w:id="49"/>
      <w:bookmarkEnd w:id="50"/>
      <w:bookmarkEnd w:id="51"/>
      <w:bookmarkEnd w:id="52"/>
      <w:bookmarkEnd w:id="53"/>
    </w:p>
    <w:p>
      <w:pPr>
        <w:pStyle w:val="Normal"/>
        <w:tabs>
          <w:tab w:val="clear" w:pos="708"/>
          <w:tab w:val="left" w:pos="1134" w:leader="none"/>
        </w:tabs>
        <w:spacing w:before="0" w:after="120"/>
        <w:ind w:firstLine="426"/>
        <w:jc w:val="both"/>
        <w:rPr>
          <w:bCs/>
          <w:i w:val="false"/>
          <w:i w:val="false"/>
          <w:iCs w:val="false"/>
          <w:sz w:val="24"/>
          <w:szCs w:val="24"/>
          <w:lang w:eastAsia="x-none"/>
        </w:rPr>
      </w:pPr>
      <w:r>
        <w:rPr>
          <w:bCs/>
          <w:i w:val="false"/>
          <w:iCs w:val="false"/>
          <w:sz w:val="24"/>
          <w:szCs w:val="24"/>
          <w:lang w:eastAsia="x-none"/>
        </w:rPr>
      </w:r>
    </w:p>
    <w:p>
      <w:pPr>
        <w:pStyle w:val="Normal"/>
        <w:tabs>
          <w:tab w:val="clear" w:pos="708"/>
          <w:tab w:val="left" w:pos="1134" w:leader="none"/>
        </w:tabs>
        <w:spacing w:before="0" w:after="120"/>
        <w:ind w:firstLine="426"/>
        <w:jc w:val="both"/>
        <w:rPr>
          <w:i w:val="false"/>
          <w:i w:val="false"/>
          <w:iCs w:val="false"/>
        </w:rPr>
      </w:pPr>
      <w:r>
        <w:rPr>
          <w:bCs/>
          <w:i w:val="false"/>
          <w:iCs w:val="false"/>
          <w:sz w:val="24"/>
          <w:szCs w:val="24"/>
        </w:rPr>
        <w:t xml:space="preserve">Приложение № 1: </w:t>
      </w:r>
      <w:bookmarkStart w:id="54" w:name="_Hlk87532473"/>
      <w:r>
        <w:rPr>
          <w:bCs/>
          <w:i w:val="false"/>
          <w:iCs w:val="false"/>
          <w:sz w:val="24"/>
          <w:szCs w:val="24"/>
        </w:rPr>
        <w:t>С</w:t>
      </w:r>
      <w:bookmarkEnd w:id="54"/>
      <w:r>
        <w:rPr>
          <w:bCs/>
          <w:i w:val="false"/>
          <w:iCs w:val="false"/>
          <w:sz w:val="24"/>
          <w:szCs w:val="24"/>
        </w:rPr>
        <w:t>писок имеющихся рабочих мест.</w:t>
      </w:r>
    </w:p>
    <w:p>
      <w:pPr>
        <w:pStyle w:val="Normal"/>
        <w:tabs>
          <w:tab w:val="clear" w:pos="708"/>
          <w:tab w:val="left" w:pos="1134" w:leader="none"/>
        </w:tabs>
        <w:spacing w:before="0" w:after="120"/>
        <w:ind w:firstLine="426"/>
        <w:jc w:val="both"/>
        <w:rPr>
          <w:i w:val="false"/>
          <w:i w:val="false"/>
          <w:iCs w:val="false"/>
        </w:rPr>
      </w:pPr>
      <w:r>
        <w:rPr>
          <w:bCs/>
          <w:i w:val="false"/>
          <w:iCs w:val="false"/>
          <w:sz w:val="24"/>
          <w:szCs w:val="24"/>
        </w:rPr>
        <w:t xml:space="preserve">Приложение № 2: </w:t>
      </w:r>
      <w:bookmarkStart w:id="55" w:name="_Hlk875324731"/>
      <w:r>
        <w:rPr>
          <w:bCs/>
          <w:i w:val="false"/>
          <w:iCs w:val="false"/>
          <w:sz w:val="24"/>
          <w:szCs w:val="24"/>
        </w:rPr>
        <w:t>Спецификация</w:t>
      </w:r>
      <w:bookmarkEnd w:id="55"/>
      <w:r>
        <w:rPr>
          <w:bCs/>
          <w:i w:val="false"/>
          <w:iCs w:val="false"/>
          <w:sz w:val="24"/>
          <w:szCs w:val="24"/>
        </w:rPr>
        <w:t>.</w:t>
      </w:r>
    </w:p>
    <w:sectPr>
      <w:headerReference w:type="default" r:id="rId7"/>
      <w:headerReference w:type="first" r:id="rId8"/>
      <w:type w:val="nextPage"/>
      <w:pgSz w:w="11906" w:h="16838"/>
      <w:pgMar w:left="1134" w:right="851" w:gutter="0" w:header="680" w:top="1134" w:footer="0" w:bottom="992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PT Sans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Times New Roman Полужирный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0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3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</w:t>
    </w:r>
    <w:r>
      <w:rPr/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114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zh-TW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2166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rsid w:val="00353a27"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rsid w:val="00ea61a8"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rsid w:val="000f339d"/>
    <w:pPr>
      <w:keepNext w:val="true"/>
      <w:tabs>
        <w:tab w:val="clear" w:pos="708"/>
        <w:tab w:val="left" w:pos="0" w:leader="none"/>
      </w:tabs>
      <w:spacing w:before="120" w:after="60"/>
      <w:ind w:hanging="426" w:left="426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6629c9"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qFormat/>
    <w:rsid w:val="00d561d9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Hyperlink" w:customStyle="1">
    <w:name w:val="Hyperlink"/>
    <w:uiPriority w:val="99"/>
    <w:rsid w:val="006c2f3f"/>
    <w:rPr>
      <w:color w:val="0000FF"/>
      <w:u w:val="single"/>
    </w:rPr>
  </w:style>
  <w:style w:type="character" w:styleId="Annotationreference">
    <w:name w:val="annotation reference"/>
    <w:uiPriority w:val="99"/>
    <w:semiHidden/>
    <w:qFormat/>
    <w:rsid w:val="00b714b0"/>
    <w:rPr>
      <w:sz w:val="16"/>
      <w:szCs w:val="16"/>
    </w:rPr>
  </w:style>
  <w:style w:type="character" w:styleId="Strong">
    <w:name w:val="Strong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sid w:val="000f339d"/>
    <w:rPr>
      <w:rFonts w:eastAsia="Calibri"/>
      <w:b/>
      <w:sz w:val="24"/>
      <w:szCs w:val="24"/>
      <w:lang w:val="x-none" w:eastAsia="x-none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5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1" w:customStyle="1">
    <w:name w:val="Подпункт Знак1"/>
    <w:link w:val="Style21"/>
    <w:qFormat/>
    <w:locked/>
    <w:rsid w:val="00d22f6d"/>
    <w:rPr>
      <w:sz w:val="28"/>
    </w:rPr>
  </w:style>
  <w:style w:type="character" w:styleId="Style5" w:customStyle="1">
    <w:name w:val="Текст сноски Знак"/>
    <w:uiPriority w:val="99"/>
    <w:qFormat/>
    <w:rsid w:val="00d22f6d"/>
    <w:rPr/>
  </w:style>
  <w:style w:type="character" w:styleId="Style6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link w:val="ListParagraph"/>
    <w:uiPriority w:val="34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b/>
      <w:i/>
      <w:shd w:fill="FFFF99" w:val="clear"/>
    </w:rPr>
  </w:style>
  <w:style w:type="character" w:styleId="Style9" w:customStyle="1">
    <w:name w:val="Подподпункт Знак"/>
    <w:link w:val="Style29"/>
    <w:qFormat/>
    <w:locked/>
    <w:rsid w:val="0025139e"/>
    <w:rPr>
      <w:sz w:val="26"/>
      <w:szCs w:val="26"/>
    </w:rPr>
  </w:style>
  <w:style w:type="character" w:styleId="31" w:customStyle="1">
    <w:name w:val="УРОВЕНЬ_Абзац_тип3 Знак"/>
    <w:link w:val="36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link w:val="Annotationtext"/>
    <w:semiHidden/>
    <w:qFormat/>
    <w:rsid w:val="00dc0f7d"/>
    <w:rPr/>
  </w:style>
  <w:style w:type="character" w:styleId="Style12" w:customStyle="1">
    <w:name w:val="Текст концевой сноски Знак"/>
    <w:basedOn w:val="DefaultParagraphFont"/>
    <w:qFormat/>
    <w:rsid w:val="003879d4"/>
    <w:rPr/>
  </w:style>
  <w:style w:type="character" w:styleId="Style13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basedOn w:val="DefaultParagraphFont"/>
    <w:qFormat/>
    <w:rsid w:val="003879d4"/>
    <w:rPr>
      <w:vertAlign w:val="superscript"/>
    </w:rPr>
  </w:style>
  <w:style w:type="character" w:styleId="22" w:customStyle="1">
    <w:name w:val="Пункт2 Знак"/>
    <w:link w:val="24"/>
    <w:qFormat/>
    <w:rsid w:val="00de52bc"/>
    <w:rPr>
      <w:b/>
      <w:sz w:val="28"/>
    </w:rPr>
  </w:style>
  <w:style w:type="character" w:styleId="12" w:customStyle="1">
    <w:name w:val="УРОВЕНЬ_1. Знак"/>
    <w:link w:val="19"/>
    <w:qFormat/>
    <w:rsid w:val="004a17ae"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uiPriority w:val="99"/>
    <w:semiHidden/>
    <w:unhideWhenUsed/>
    <w:qFormat/>
    <w:rsid w:val="00c36f30"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sid w:val="00c36f30"/>
    <w:rPr>
      <w:sz w:val="16"/>
      <w:szCs w:val="16"/>
    </w:rPr>
  </w:style>
  <w:style w:type="character" w:styleId="Style14" w:customStyle="1">
    <w:name w:val="Ссылка указателя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Style6"/>
    <w:rsid w:val="0076353a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</w:rPr>
  </w:style>
  <w:style w:type="paragraph" w:styleId="Caption1">
    <w:name w:val="caption1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Indexheading1">
    <w:name w:val="index heading1"/>
    <w:basedOn w:val="Title"/>
    <w:qFormat/>
    <w:pPr/>
    <w:rPr/>
  </w:style>
  <w:style w:type="paragraph" w:styleId="Style17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18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19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uiPriority w:val="99"/>
    <w:rsid w:val="00d561d9"/>
    <w:pPr/>
    <w:rPr>
      <w:sz w:val="20"/>
      <w:szCs w:val="20"/>
    </w:rPr>
  </w:style>
  <w:style w:type="paragraph" w:styleId="14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link w:val="Style1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20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rsid w:val="0076353a"/>
    <w:pPr>
      <w:ind w:hanging="0" w:left="360"/>
    </w:pPr>
    <w:rPr>
      <w:sz w:val="24"/>
      <w:szCs w:val="24"/>
    </w:rPr>
  </w:style>
  <w:style w:type="paragraph" w:styleId="Footer">
    <w:name w:val="Footer"/>
    <w:basedOn w:val="Normal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hanging="0" w:left="283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rsid w:val="0076353a"/>
    <w:pPr>
      <w:spacing w:before="0" w:after="120"/>
      <w:ind w:hanging="0" w:left="283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hanging="0" w:left="-567" w:right="-766"/>
      <w:jc w:val="center"/>
    </w:pPr>
    <w:rPr>
      <w:b/>
      <w:bCs/>
      <w:sz w:val="24"/>
      <w:szCs w:val="20"/>
    </w:rPr>
  </w:style>
  <w:style w:type="paragraph" w:styleId="Style21" w:customStyle="1">
    <w:name w:val="Подпункт"/>
    <w:basedOn w:val="Normal"/>
    <w:link w:val="11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hanging="1134" w:left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2"/>
    <w:qFormat/>
    <w:rsid w:val="0076353a"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hanging="1134" w:left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rsid w:val="00421b6b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c01756"/>
    <w:pPr>
      <w:ind w:hanging="0" w:left="280"/>
    </w:pPr>
    <w:rPr>
      <w:rFonts w:cs="Calibri" w:cstheme="minorHAnsi"/>
      <w:sz w:val="20"/>
      <w:szCs w:val="20"/>
    </w:rPr>
  </w:style>
  <w:style w:type="paragraph" w:styleId="Style22" w:customStyle="1">
    <w:name w:val="Раздел регламента"/>
    <w:basedOn w:val="Normal"/>
    <w:qFormat/>
    <w:rsid w:val="00e228fa"/>
    <w:pPr/>
    <w:rPr/>
  </w:style>
  <w:style w:type="paragraph" w:styleId="Style23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next w:val="Normal"/>
    <w:autoRedefine/>
    <w:uiPriority w:val="39"/>
    <w:rsid w:val="00c01756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semiHidden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b714b0"/>
    <w:pPr/>
    <w:rPr>
      <w:b/>
      <w:bCs/>
    </w:rPr>
  </w:style>
  <w:style w:type="paragraph" w:styleId="16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f57628"/>
    <w:pPr>
      <w:ind w:hanging="0" w:left="196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57628"/>
    <w:pPr>
      <w:ind w:hanging="0" w:left="84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c01756"/>
    <w:pPr>
      <w:ind w:hanging="0" w:left="56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24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Subtitle">
    <w:name w:val="Subtitle"/>
    <w:basedOn w:val="Normal"/>
    <w:next w:val="Normal"/>
    <w:link w:val="Style2"/>
    <w:uiPriority w:val="11"/>
    <w:qFormat/>
    <w:rsid w:val="00d22f6d"/>
    <w:pPr>
      <w:ind w:firstLine="709" w:left="1066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uiPriority w:val="34"/>
    <w:qFormat/>
    <w:rsid w:val="00d22f6d"/>
    <w:pPr>
      <w:spacing w:before="0" w:after="0"/>
      <w:ind w:hanging="0" w:left="72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uiPriority w:val="30"/>
    <w:qFormat/>
    <w:rsid w:val="00d22f6d"/>
    <w:pPr>
      <w:pBdr>
        <w:bottom w:val="single" w:sz="4" w:space="4" w:color="4F81BD"/>
      </w:pBdr>
      <w:spacing w:before="200" w:after="280"/>
      <w:ind w:hanging="0" w:left="936" w:right="936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5"/>
    <w:pPr/>
    <w:rPr/>
  </w:style>
  <w:style w:type="paragraph" w:styleId="TOCHeading">
    <w:name w:val="TOC Heading"/>
    <w:basedOn w:val="Heading1"/>
    <w:next w:val="Normal"/>
    <w:uiPriority w:val="39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25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41" w:customStyle="1">
    <w:name w:val="Маркированный список 41"/>
    <w:basedOn w:val="Normal"/>
    <w:qFormat/>
    <w:rsid w:val="00d22f6d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6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hanging="1134" w:left="1134" w:right="800"/>
      <w:jc w:val="both"/>
    </w:pPr>
    <w:rPr>
      <w:rFonts w:ascii="Arial" w:hAnsi="Arial"/>
      <w:b/>
      <w:i/>
      <w:szCs w:val="20"/>
    </w:rPr>
  </w:style>
  <w:style w:type="paragraph" w:styleId="17" w:customStyle="1">
    <w:name w:val="Абзац списка1"/>
    <w:basedOn w:val="Normal"/>
    <w:qFormat/>
    <w:rsid w:val="00d22f6d"/>
    <w:pPr>
      <w:spacing w:lineRule="auto" w:line="276" w:before="0" w:after="200"/>
      <w:ind w:hanging="0" w:left="720"/>
      <w:contextualSpacing/>
    </w:pPr>
    <w:rPr>
      <w:rFonts w:ascii="Calibri" w:hAnsi="Calibri"/>
      <w:sz w:val="22"/>
      <w:szCs w:val="22"/>
      <w:lang w:eastAsia="en-US"/>
    </w:rPr>
  </w:style>
  <w:style w:type="paragraph" w:styleId="Style27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28" w:customStyle="1">
    <w:name w:val="Таблица шапка"/>
    <w:basedOn w:val="Normal"/>
    <w:qFormat/>
    <w:rsid w:val="00f64089"/>
    <w:pPr>
      <w:keepNext w:val="true"/>
      <w:spacing w:before="40" w:after="40"/>
      <w:ind w:hanging="0" w:left="57" w:right="57"/>
    </w:pPr>
    <w:rPr>
      <w:sz w:val="22"/>
      <w:szCs w:val="26"/>
    </w:rPr>
  </w:style>
  <w:style w:type="paragraph" w:styleId="Style29" w:customStyle="1">
    <w:name w:val="Подподпункт"/>
    <w:basedOn w:val="Style21"/>
    <w:link w:val="Style9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hanging="567" w:left="5104"/>
    </w:pPr>
    <w:rPr>
      <w:sz w:val="26"/>
      <w:szCs w:val="26"/>
      <w:lang w:val="ru-RU" w:eastAsia="ru-RU"/>
    </w:rPr>
  </w:style>
  <w:style w:type="paragraph" w:styleId="Style30" w:customStyle="1">
    <w:name w:val="УРОВЕНЬ_(а)"/>
    <w:basedOn w:val="ListParagraph"/>
    <w:qFormat/>
    <w:rsid w:val="00b56f46"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rsid w:val="00b56f46"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link w:val="31"/>
    <w:qFormat/>
    <w:rsid w:val="00b56f46"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1" w:customStyle="1">
    <w:name w:val="УРОВЕНЬ_Подпись"/>
    <w:basedOn w:val="ListParagraph"/>
    <w:qFormat/>
    <w:rsid w:val="00b56f46"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8" w:customStyle="1">
    <w:name w:val="Стиль Заголовок 1 + по ширине"/>
    <w:basedOn w:val="Heading1"/>
    <w:qFormat/>
    <w:rsid w:val="005773b2"/>
    <w:pPr>
      <w:keepLines/>
      <w:tabs>
        <w:tab w:val="clear" w:pos="0"/>
        <w:tab w:val="left" w:pos="567" w:leader="none"/>
      </w:tabs>
      <w:spacing w:before="480" w:after="240"/>
      <w:ind w:hanging="567" w:left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rsid w:val="003879d4"/>
    <w:pPr/>
    <w:rPr>
      <w:sz w:val="20"/>
      <w:szCs w:val="20"/>
    </w:rPr>
  </w:style>
  <w:style w:type="paragraph" w:styleId="28" w:customStyle="1">
    <w:name w:val="Заголовок 2 КВВ"/>
    <w:basedOn w:val="Normal"/>
    <w:qFormat/>
    <w:rsid w:val="00cb35e8"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2" w:customStyle="1">
    <w:name w:val="Таблица текст"/>
    <w:basedOn w:val="Normal"/>
    <w:qFormat/>
    <w:rsid w:val="00343e95"/>
    <w:pPr>
      <w:spacing w:before="40" w:after="40"/>
      <w:ind w:hanging="0" w:left="57" w:right="57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9" w:customStyle="1">
    <w:name w:val="УРОВЕНЬ_1."/>
    <w:basedOn w:val="ListParagraph"/>
    <w:link w:val="12"/>
    <w:qFormat/>
    <w:rsid w:val="004a17ae"/>
    <w:pPr>
      <w:keepNext w:val="true"/>
      <w:keepLines/>
      <w:spacing w:lineRule="auto" w:line="276" w:before="240" w:after="120"/>
      <w:ind w:hanging="0" w:left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unhideWhenUsed/>
    <w:rsid w:val="00d849aa"/>
    <w:pPr>
      <w:ind w:hanging="0" w:left="112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d849aa"/>
    <w:pPr>
      <w:ind w:hanging="0" w:left="140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d849aa"/>
    <w:pPr>
      <w:ind w:hanging="0" w:left="168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Style33" w:customStyle="1">
    <w:name w:val="Содержимое врезки"/>
    <w:basedOn w:val="Normal"/>
    <w:qFormat/>
    <w:pPr/>
    <w:rPr/>
  </w:style>
  <w:style w:type="paragraph" w:styleId="Style34">
    <w:name w:val="Содержимое таблицы"/>
    <w:basedOn w:val="Normal"/>
    <w:qFormat/>
    <w:pPr>
      <w:widowControl w:val="false"/>
      <w:suppressLineNumbers/>
    </w:pPr>
    <w:rPr/>
  </w:style>
  <w:style w:type="paragraph" w:styleId="Style35">
    <w:name w:val="Заголовок таблицы"/>
    <w:basedOn w:val="Style34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Стиль1"/>
    <w:uiPriority w:val="99"/>
    <w:qFormat/>
    <w:rsid w:val="00f001e4"/>
  </w:style>
  <w:style w:type="numbering" w:styleId="29" w:customStyle="1">
    <w:name w:val="Стиль2"/>
    <w:uiPriority w:val="99"/>
    <w:qFormat/>
    <w:rsid w:val="006629c9"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4">
    <w:name w:val="Table Grid"/>
    <w:basedOn w:val="a5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5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header" Target="header6.xml"/><Relationship Id="rId8" Type="http://schemas.openxmlformats.org/officeDocument/2006/relationships/header" Target="header7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1C644-5910-4983-9416-9E0BD9520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Application>AlterOffice/2026.2.0.0$Linux_X86_64 LibreOffice_project/bc4ef1adf80b36c7a6365f8ed6cbf29021361edd</Application>
  <AppVersion>15.0000</AppVersion>
  <Pages>6</Pages>
  <Words>593</Words>
  <Characters>3958</Characters>
  <CharactersWithSpaces>4429</CharactersWithSpaces>
  <Paragraphs>120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2024-04-19T13:17:00Z</dcterms:created>
  <dc:creator>Быстров Олег Геннадьевич</dc:creator>
  <dc:description/>
  <dc:language>ru-RU</dc:language>
  <cp:lastModifiedBy>fedorovva@corp.gidroogk.com</cp:lastModifiedBy>
  <cp:lastPrinted>2006-07-26T14:04:00Z</cp:lastPrinted>
  <dcterms:modified xsi:type="dcterms:W3CDTF">2026-07-29T11:32:38Z</dcterms:modified>
  <cp:revision>17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